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教务部</w:t>
      </w:r>
      <w:r>
        <w:rPr>
          <w:rFonts w:hint="eastAsia" w:ascii="方正小标宋简体" w:eastAsia="方正小标宋简体"/>
          <w:sz w:val="40"/>
          <w:szCs w:val="40"/>
        </w:rPr>
        <w:t>关于加强教职工精神文明建设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实施方案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按照集团和学院</w:t>
      </w:r>
      <w:r>
        <w:rPr>
          <w:rFonts w:hint="eastAsia" w:ascii="仿宋_GB2312" w:eastAsia="仿宋_GB2312"/>
          <w:sz w:val="32"/>
          <w:szCs w:val="32"/>
        </w:rPr>
        <w:t>实施精细化管理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相关文件要求，</w:t>
      </w:r>
      <w:r>
        <w:rPr>
          <w:rFonts w:hint="eastAsia" w:ascii="仿宋_GB2312" w:eastAsia="仿宋_GB2312"/>
          <w:sz w:val="32"/>
          <w:szCs w:val="32"/>
        </w:rPr>
        <w:t>切实加强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本部门教职工</w:t>
      </w:r>
      <w:r>
        <w:rPr>
          <w:rFonts w:hint="eastAsia" w:ascii="仿宋_GB2312" w:eastAsia="仿宋_GB2312"/>
          <w:sz w:val="32"/>
          <w:szCs w:val="32"/>
        </w:rPr>
        <w:t>精神文明建设，牢固树立主人翁意识，增加教职工的归属感、自豪感，达到凝心聚力、爱岗敬业、以院为家的目的，特制定本方案。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以习近平新时代中国特色社会主义思想为指导，紧紧围绕“知校爱校、勤俭节约、仪容仪表”三大主题，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开展校史校情学习培训、勤俭节约养成教育和仪容仪表规范提升等系列活动。</w:t>
      </w:r>
      <w:r>
        <w:rPr>
          <w:rFonts w:ascii="仿宋_GB2312" w:eastAsia="仿宋_GB2312"/>
          <w:sz w:val="32"/>
          <w:szCs w:val="32"/>
        </w:rPr>
        <w:t>增强</w:t>
      </w:r>
      <w:r>
        <w:rPr>
          <w:rFonts w:hint="eastAsia" w:ascii="仿宋_GB2312" w:eastAsia="仿宋_GB2312"/>
          <w:sz w:val="32"/>
          <w:szCs w:val="32"/>
        </w:rPr>
        <w:t>教职工对学院的了解认识和热爱维护，培养知校爱校的主人翁情怀，进一步增强学院的凝聚力和向心力。大力弘扬勤俭节约、爱护公物的优良作风，增强节约资源的自觉性和主动性，努力营造“节约光荣、浪费可耻”的浓厚氛围。规范教职工仪容仪表和日常行为规范，进一步提升教职工职业形象，做到“衣着得体、语言规范、举止文明”的良好师德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常学川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副组长：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易俊彬  和艳洁  江闪闪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领导小组负责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本部门和工作职责范围内的</w:t>
      </w:r>
      <w:r>
        <w:rPr>
          <w:rFonts w:hint="eastAsia" w:ascii="仿宋_GB2312" w:eastAsia="仿宋_GB2312"/>
          <w:sz w:val="32"/>
          <w:szCs w:val="32"/>
        </w:rPr>
        <w:t>精神文明建设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与精细化管理</w:t>
      </w:r>
      <w:r>
        <w:rPr>
          <w:rFonts w:hint="eastAsia" w:ascii="仿宋_GB2312" w:eastAsia="仿宋_GB2312"/>
          <w:sz w:val="32"/>
          <w:szCs w:val="32"/>
        </w:rPr>
        <w:t>的整体安排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eastAsia="仿宋_GB2312"/>
          <w:sz w:val="32"/>
          <w:szCs w:val="32"/>
        </w:rPr>
        <w:t>、督导检查和考核评价工作。</w:t>
      </w:r>
      <w:r>
        <w:rPr>
          <w:rFonts w:hint="eastAsia" w:ascii="仿宋_GB2312" w:eastAsia="仿宋_GB2312"/>
          <w:sz w:val="32"/>
          <w:szCs w:val="32"/>
          <w:lang w:val="en-US" w:eastAsia="zh-CN"/>
          <w:woUserID w:val="2"/>
        </w:rPr>
        <w:t>此项工作</w:t>
      </w:r>
      <w:r>
        <w:rPr>
          <w:rFonts w:hint="default" w:ascii="仿宋_GB2312" w:eastAsia="仿宋_GB2312"/>
          <w:sz w:val="32"/>
          <w:szCs w:val="32"/>
          <w:lang w:eastAsia="zh-CN"/>
          <w:woUserID w:val="2"/>
        </w:rPr>
        <w:t>与网格化疫情防控协同开展，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江闪闪任办公室主任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。下设三个具体工作组。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1.公物管理与卫生组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负责教务部分管区域内公物情况检查、公物与设备维修；对分管区域内每天卫生清洁情况进行督促检查落实，并拍照留存档案。（责任人：耿浩、薛志雄、孙佳璞、焦灵娜，督办人：和艳洁、易俊彬）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2.教师精神文明建设组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织本部门教师学习精神文明建设相关知识，查找不足及时整改，优化办事流程，实施无纸化办公室，厉行勤俭节约。（责任人：席艺媛（负责精神文明学习）、所有教师优化职责内办事流程，督办人：易俊彬、江闪闪、和艳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3.日常工作开展督察组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主要对本部门内部精神文明建设、公物管理、</w:t>
      </w:r>
      <w:r>
        <w:rPr>
          <w:rFonts w:hint="default" w:ascii="仿宋_GB2312" w:eastAsia="仿宋_GB2312"/>
          <w:sz w:val="32"/>
          <w:szCs w:val="32"/>
          <w:lang w:eastAsia="zh-CN"/>
          <w:woUserID w:val="1"/>
        </w:rPr>
        <w:t>安全管理、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卫生清洁开展督促检查，对各院（系）部教师仪容仪表、防疫防控、教学秩序等，每天检查留存图片、填写附件1与附件2，并发送给江闪闪统一汇总。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第一组 检查人：吕金芳、孙佳璞、耿 浩（周一至周二）负责人：常学川；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第二组 检查人：冯婷婷、崔京泽（周三至周四）；负责人：江闪闪；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第三组 检查人：席艺媛、薛志雄、孙栋璞（周五至周日）；负责人：和艳洁。</w:t>
      </w:r>
    </w:p>
    <w:p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集中学习</w:t>
      </w:r>
      <w:r>
        <w:rPr>
          <w:rFonts w:hint="eastAsia" w:ascii="黑体" w:hAnsi="黑体" w:eastAsia="黑体"/>
          <w:sz w:val="32"/>
          <w:szCs w:val="32"/>
        </w:rPr>
        <w:t>（4月1日-</w:t>
      </w:r>
      <w:r>
        <w:rPr>
          <w:rFonts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月2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1.学习形式。</w:t>
      </w:r>
      <w:r>
        <w:rPr>
          <w:rFonts w:hint="eastAsia" w:ascii="仿宋_GB2312" w:eastAsia="仿宋_GB2312"/>
          <w:sz w:val="32"/>
          <w:szCs w:val="32"/>
        </w:rPr>
        <w:t>以学院下发的培训资料为基础，通过集体学习、个人自学、参观荣誉室、交流讨论等方式，围绕三大主题认真学习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2.学习内容。</w:t>
      </w:r>
      <w:r>
        <w:rPr>
          <w:rFonts w:hint="eastAsia" w:ascii="仿宋_GB2312" w:eastAsia="仿宋_GB2312"/>
          <w:sz w:val="32"/>
          <w:szCs w:val="32"/>
        </w:rPr>
        <w:t>校情校史（主要包括集团的发展历程、办学成就、办学现状、特色优势、发展方向等内容）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仪容仪表（主要包括师德师风、教师礼仪）的学习资料的整理与下发；勤俭节约、公物管理（勤俭节约知识与技能、学院物资与公物管理制度）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等方面材料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ascii="仿宋_GB2312" w:eastAsia="仿宋_GB2312"/>
          <w:b w:val="0"/>
          <w:bCs w:val="0"/>
          <w:sz w:val="32"/>
          <w:szCs w:val="32"/>
        </w:rPr>
        <w:t>2.4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月1</w:t>
      </w:r>
      <w:r>
        <w:rPr>
          <w:rFonts w:ascii="仿宋_GB2312" w:eastAsia="仿宋_GB2312"/>
          <w:b w:val="0"/>
          <w:bCs w:val="0"/>
          <w:sz w:val="32"/>
          <w:szCs w:val="32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日前，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针对校情、仪容仪表、勤俭节约等方面学习内容，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组织一次知识测试；4月2</w:t>
      </w:r>
      <w:r>
        <w:rPr>
          <w:rFonts w:ascii="仿宋_GB2312" w:eastAsia="仿宋_GB2312"/>
          <w:b w:val="0"/>
          <w:bCs w:val="0"/>
          <w:sz w:val="32"/>
          <w:szCs w:val="32"/>
        </w:rPr>
        <w:t>0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日前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参加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学院统一组织测评。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（三）整改提升（4月2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日-</w:t>
      </w:r>
      <w:r>
        <w:rPr>
          <w:rFonts w:ascii="黑体" w:hAnsi="黑体" w:eastAsia="黑体"/>
          <w:sz w:val="32"/>
          <w:szCs w:val="32"/>
        </w:rPr>
        <w:t>6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在继续学习的基础上，完成以下几项工作：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</w:t>
      </w:r>
      <w:r>
        <w:rPr>
          <w:rFonts w:ascii="仿宋_GB2312" w:hAnsi="黑体" w:eastAsia="仿宋_GB2312"/>
          <w:sz w:val="32"/>
          <w:szCs w:val="32"/>
        </w:rPr>
        <w:t>.4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黑体" w:eastAsia="仿宋_GB2312"/>
          <w:sz w:val="32"/>
          <w:szCs w:val="32"/>
        </w:rPr>
        <w:t>日前，立足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教务部工作</w:t>
      </w:r>
      <w:r>
        <w:rPr>
          <w:rFonts w:hint="eastAsia" w:ascii="仿宋_GB2312" w:hAnsi="黑体" w:eastAsia="仿宋_GB2312"/>
          <w:sz w:val="32"/>
          <w:szCs w:val="32"/>
        </w:rPr>
        <w:t>职责，围绕知校爱校、勤俭节约、仪容仪表、精细化管理等方面开展自查自纠，对于自查出来的问题，能够整改的立即整改，暂时无法立即解决的问题，建立台账，明确整改责任人、整改措施和督办人。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ascii="仿宋_GB2312" w:hAnsi="黑体" w:eastAsia="仿宋_GB2312"/>
          <w:sz w:val="32"/>
          <w:szCs w:val="32"/>
        </w:rPr>
        <w:t>2.5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/>
          <w:sz w:val="32"/>
          <w:szCs w:val="32"/>
        </w:rPr>
        <w:t>日前，各部门要对台账中的问题开展集中整改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3.6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黑体" w:eastAsia="仿宋_GB2312"/>
          <w:sz w:val="32"/>
          <w:szCs w:val="32"/>
        </w:rPr>
        <w:t>日前，做好制度的“废改立”。比如，在入职培训、考核评优、职称评审等工作中纳入校情校史、勤俭节约、仪容仪表等内容；遵循勤俭节约的原则，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进行无纸化办公创建</w:t>
      </w:r>
      <w:r>
        <w:rPr>
          <w:rFonts w:hint="eastAsia" w:ascii="仿宋_GB2312" w:hAnsi="黑体" w:eastAsia="仿宋_GB2312"/>
          <w:sz w:val="32"/>
          <w:szCs w:val="32"/>
        </w:rPr>
        <w:t>，固化精神文明建设成果。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（四）总结交流（6月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日-</w:t>
      </w:r>
      <w:r>
        <w:rPr>
          <w:rFonts w:ascii="黑体" w:hAnsi="黑体" w:eastAsia="黑体"/>
          <w:sz w:val="32"/>
          <w:szCs w:val="32"/>
        </w:rPr>
        <w:t>6</w:t>
      </w:r>
      <w:r>
        <w:rPr>
          <w:rFonts w:hint="eastAsia" w:ascii="黑体" w:hAnsi="黑体" w:eastAsia="黑体"/>
          <w:sz w:val="32"/>
          <w:szCs w:val="32"/>
        </w:rPr>
        <w:t>月3</w:t>
      </w:r>
      <w:r>
        <w:rPr>
          <w:rFonts w:ascii="黑体" w:hAnsi="黑体" w:eastAsia="黑体"/>
          <w:sz w:val="32"/>
          <w:szCs w:val="32"/>
        </w:rPr>
        <w:t>0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1.</w:t>
      </w:r>
      <w:r>
        <w:rPr>
          <w:rFonts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黑体" w:eastAsia="仿宋_GB2312"/>
          <w:sz w:val="32"/>
          <w:szCs w:val="32"/>
        </w:rPr>
        <w:t>日前，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工作领导小组</w:t>
      </w:r>
      <w:r>
        <w:rPr>
          <w:rFonts w:hint="eastAsia" w:ascii="仿宋_GB2312" w:hAnsi="黑体" w:eastAsia="仿宋_GB2312"/>
          <w:sz w:val="32"/>
          <w:szCs w:val="32"/>
        </w:rPr>
        <w:t>深入总结精神文明建设工作，评选推荐先进个人，并向学院提交总结报告。每位教职工提交一篇不少于1</w:t>
      </w:r>
      <w:r>
        <w:rPr>
          <w:rFonts w:ascii="仿宋_GB2312" w:hAnsi="黑体" w:eastAsia="仿宋_GB2312"/>
          <w:sz w:val="32"/>
          <w:szCs w:val="32"/>
        </w:rPr>
        <w:t>500</w:t>
      </w:r>
      <w:r>
        <w:rPr>
          <w:rFonts w:hint="eastAsia" w:ascii="仿宋_GB2312" w:hAnsi="黑体" w:eastAsia="仿宋_GB2312"/>
          <w:sz w:val="32"/>
          <w:szCs w:val="32"/>
        </w:rPr>
        <w:t>字的学习心得。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ascii="仿宋_GB2312" w:hAnsi="黑体" w:eastAsia="仿宋_GB2312"/>
          <w:sz w:val="32"/>
          <w:szCs w:val="32"/>
        </w:rPr>
        <w:t>6</w:t>
      </w:r>
      <w:r>
        <w:rPr>
          <w:rFonts w:hint="eastAsia" w:ascii="仿宋_GB2312" w:hAnsi="黑体" w:eastAsia="仿宋_GB2312"/>
          <w:sz w:val="32"/>
          <w:szCs w:val="32"/>
        </w:rPr>
        <w:t>月3</w:t>
      </w:r>
      <w:r>
        <w:rPr>
          <w:rFonts w:ascii="仿宋_GB2312" w:hAnsi="黑体" w:eastAsia="仿宋_GB2312"/>
          <w:sz w:val="32"/>
          <w:szCs w:val="32"/>
        </w:rPr>
        <w:t>0</w:t>
      </w:r>
      <w:r>
        <w:rPr>
          <w:rFonts w:hint="eastAsia" w:ascii="仿宋_GB2312" w:hAnsi="黑体" w:eastAsia="仿宋_GB2312"/>
          <w:sz w:val="32"/>
          <w:szCs w:val="32"/>
        </w:rPr>
        <w:t>日前，学院将开展交流评比活动，并对表现突出的部门及个人进行表彰。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在工作领导小组带领下</w:t>
      </w:r>
      <w:r>
        <w:rPr>
          <w:rFonts w:hint="eastAsia" w:ascii="仿宋" w:hAnsi="仿宋" w:eastAsia="仿宋" w:cs="仿宋"/>
          <w:sz w:val="32"/>
          <w:szCs w:val="32"/>
        </w:rPr>
        <w:t>，充分履行组织领导和抓好落实的职能，精心组织开展好各项具体活动，确保精神文明建设活动深入有效开展。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具体负责工作开展人员，及时总结工作开展过程中好的素材或典型案例，发布到</w:t>
      </w:r>
      <w:r>
        <w:rPr>
          <w:rFonts w:hint="eastAsia" w:ascii="仿宋" w:hAnsi="仿宋" w:eastAsia="仿宋" w:cs="仿宋"/>
          <w:sz w:val="32"/>
          <w:szCs w:val="32"/>
        </w:rPr>
        <w:t>网站、宣传橱窗和公众号等宣传阵地，营造良好的宣传氛围，引导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部门教师</w:t>
      </w:r>
      <w:r>
        <w:rPr>
          <w:rFonts w:hint="eastAsia" w:ascii="仿宋" w:hAnsi="仿宋" w:eastAsia="仿宋" w:cs="仿宋"/>
          <w:sz w:val="32"/>
          <w:szCs w:val="32"/>
        </w:rPr>
        <w:t>积极投入精神文明建设活动。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每位教师</w:t>
      </w:r>
      <w:r>
        <w:rPr>
          <w:rFonts w:hint="eastAsia" w:ascii="仿宋" w:hAnsi="仿宋" w:eastAsia="仿宋" w:cs="仿宋"/>
          <w:sz w:val="32"/>
          <w:szCs w:val="32"/>
        </w:rPr>
        <w:t>要将精神文明建设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精细化管理</w:t>
      </w:r>
      <w:r>
        <w:rPr>
          <w:rFonts w:hint="eastAsia" w:ascii="仿宋" w:hAnsi="仿宋" w:eastAsia="仿宋" w:cs="仿宋"/>
          <w:sz w:val="32"/>
          <w:szCs w:val="32"/>
        </w:rPr>
        <w:t>和能力作风建设年活动有机结合起来，把工个人成长和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发展有机结合起来，相互促进，相互提高。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工作中要注意留存图片、记录等资料。工作情况每天要在</w:t>
      </w:r>
      <w:r>
        <w:rPr>
          <w:rFonts w:hint="default" w:ascii="仿宋" w:hAnsi="仿宋" w:eastAsia="仿宋" w:cs="仿宋"/>
          <w:sz w:val="32"/>
          <w:szCs w:val="32"/>
          <w:woUserID w:val="1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工作群里反馈一次，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精神文明建设整改情况每2天</w:t>
      </w:r>
      <w:r>
        <w:rPr>
          <w:rFonts w:hint="default" w:ascii="仿宋" w:hAnsi="仿宋" w:eastAsia="仿宋" w:cs="仿宋"/>
          <w:sz w:val="32"/>
          <w:szCs w:val="32"/>
          <w:lang w:eastAsia="zh-CN"/>
          <w:woUserID w:val="2"/>
        </w:rPr>
        <w:t>向党政办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汇报一次</w:t>
      </w:r>
      <w:r>
        <w:rPr>
          <w:rFonts w:hint="eastAsia" w:ascii="仿宋" w:hAnsi="仿宋" w:eastAsia="仿宋" w:cs="仿宋"/>
          <w:sz w:val="32"/>
          <w:szCs w:val="32"/>
        </w:rPr>
        <w:t>（见附件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，精细化管理</w:t>
      </w:r>
      <w:r>
        <w:rPr>
          <w:rFonts w:hint="eastAsia" w:ascii="仿宋" w:hAnsi="仿宋" w:eastAsia="仿宋" w:cs="仿宋"/>
          <w:sz w:val="32"/>
          <w:szCs w:val="32"/>
        </w:rPr>
        <w:t>每周五</w:t>
      </w:r>
      <w:r>
        <w:rPr>
          <w:rFonts w:hint="default" w:ascii="仿宋" w:hAnsi="仿宋" w:eastAsia="仿宋" w:cs="仿宋"/>
          <w:sz w:val="32"/>
          <w:szCs w:val="32"/>
          <w:woUserID w:val="2"/>
        </w:rPr>
        <w:t>向党政办</w:t>
      </w:r>
      <w:r>
        <w:rPr>
          <w:rFonts w:hint="eastAsia" w:ascii="仿宋" w:hAnsi="仿宋" w:eastAsia="仿宋" w:cs="仿宋"/>
          <w:sz w:val="32"/>
          <w:szCs w:val="32"/>
        </w:rPr>
        <w:t>汇报一次本周工作进展情况（见附件2）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（报送邮箱：yuanban603@163.com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、为确保精神文明建设工作落到实处，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督察组</w:t>
      </w:r>
      <w:r>
        <w:rPr>
          <w:rFonts w:hint="eastAsia" w:ascii="仿宋" w:hAnsi="仿宋" w:eastAsia="仿宋" w:cs="仿宋"/>
          <w:sz w:val="32"/>
          <w:szCs w:val="32"/>
        </w:rPr>
        <w:t>将加大检查力度，对表现突出的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提出表扬，对表现较差的提出批评。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精神文明建设</w:t>
      </w:r>
      <w:r>
        <w:rPr>
          <w:rFonts w:hint="eastAsia" w:ascii="仿宋_GB2312" w:eastAsia="仿宋_GB2312"/>
          <w:sz w:val="32"/>
          <w:szCs w:val="32"/>
        </w:rPr>
        <w:t>排查整改台账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2.精细化管理周汇报表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720" w:firstLineChars="21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5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103"/>
        <w:gridCol w:w="1843"/>
        <w:gridCol w:w="1984"/>
        <w:gridCol w:w="2231"/>
        <w:gridCol w:w="21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9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方正小标宋简体" w:eastAsia="仿宋_GB2312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Hlk98779599"/>
            <w:r>
              <w:rPr>
                <w:rFonts w:hint="eastAsia" w:ascii="仿宋_GB2312" w:hAnsi="方正小标宋简体" w:eastAsia="仿宋_GB2312" w:cs="方正小标宋简体"/>
                <w:color w:val="000000"/>
                <w:kern w:val="0"/>
                <w:sz w:val="36"/>
                <w:szCs w:val="36"/>
                <w:lang w:bidi="ar"/>
              </w:rPr>
              <w:t>附件1</w:t>
            </w: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嵩山少林武术职业学院精细化管理工作整改台账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部门：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  <w:t>提交日期：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排查发现的问题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整改责任人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责任领导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整改时限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督查人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39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各部门每2天上报一次整改台账，要求写明整改具体进展情况。（报送邮箱：</w:t>
            </w:r>
            <w:r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  <w:t>yuanban603@163.com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bookmarkEnd w:id="0"/>
    </w:tbl>
    <w:p>
      <w:pPr>
        <w:ind w:right="-58"/>
        <w:jc w:val="left"/>
        <w:rPr>
          <w:rFonts w:ascii="仿宋_GB2312" w:eastAsia="仿宋_GB2312"/>
          <w:sz w:val="32"/>
          <w:szCs w:val="32"/>
        </w:rPr>
      </w:pPr>
    </w:p>
    <w:p>
      <w:pPr>
        <w:ind w:right="8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嵩山少林武术职业学院精细化管理工作进展周汇报表</w:t>
      </w:r>
    </w:p>
    <w:p>
      <w:pPr>
        <w:ind w:right="840"/>
        <w:rPr>
          <w:rFonts w:ascii="仿宋_GB2312" w:eastAsia="仿宋_GB2312"/>
          <w:sz w:val="24"/>
          <w:szCs w:val="24"/>
        </w:rPr>
      </w:pPr>
    </w:p>
    <w:p>
      <w:pPr>
        <w:ind w:right="84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部门（盖章）：         </w:t>
      </w:r>
      <w:r>
        <w:rPr>
          <w:rFonts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 xml:space="preserve"> 责任人：</w:t>
      </w:r>
    </w:p>
    <w:tbl>
      <w:tblPr>
        <w:tblStyle w:val="6"/>
        <w:tblW w:w="13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4678"/>
        <w:gridCol w:w="7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38" w:type="dxa"/>
            <w:vAlign w:val="center"/>
          </w:tcPr>
          <w:p>
            <w:pPr>
              <w:ind w:right="-11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4678" w:type="dxa"/>
            <w:vAlign w:val="center"/>
          </w:tcPr>
          <w:p>
            <w:pPr>
              <w:ind w:right="-10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整改发现的问题</w:t>
            </w:r>
          </w:p>
        </w:tc>
        <w:tc>
          <w:tcPr>
            <w:tcW w:w="7376" w:type="dxa"/>
            <w:vAlign w:val="center"/>
          </w:tcPr>
          <w:p>
            <w:pPr>
              <w:ind w:right="-76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ind w:right="-111"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6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6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6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6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6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6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6" w:type="dxa"/>
          </w:tcPr>
          <w:p>
            <w:pPr>
              <w:ind w:right="84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right="-58"/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_GB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方正仿宋_GBK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060832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D"/>
    <w:rsid w:val="00024515"/>
    <w:rsid w:val="0006015F"/>
    <w:rsid w:val="000620BE"/>
    <w:rsid w:val="00067B44"/>
    <w:rsid w:val="00071152"/>
    <w:rsid w:val="00071C9E"/>
    <w:rsid w:val="000B767A"/>
    <w:rsid w:val="000F4570"/>
    <w:rsid w:val="00120DFE"/>
    <w:rsid w:val="001438E5"/>
    <w:rsid w:val="001505C0"/>
    <w:rsid w:val="00157668"/>
    <w:rsid w:val="00162571"/>
    <w:rsid w:val="0016574F"/>
    <w:rsid w:val="00183F58"/>
    <w:rsid w:val="00184DA9"/>
    <w:rsid w:val="0019214E"/>
    <w:rsid w:val="001B01B1"/>
    <w:rsid w:val="001E1F37"/>
    <w:rsid w:val="001E7478"/>
    <w:rsid w:val="001F211D"/>
    <w:rsid w:val="0020045F"/>
    <w:rsid w:val="002004C2"/>
    <w:rsid w:val="00201820"/>
    <w:rsid w:val="002200DC"/>
    <w:rsid w:val="00226DB3"/>
    <w:rsid w:val="002350BB"/>
    <w:rsid w:val="00235334"/>
    <w:rsid w:val="0023787F"/>
    <w:rsid w:val="00292B0A"/>
    <w:rsid w:val="002B195C"/>
    <w:rsid w:val="002E166B"/>
    <w:rsid w:val="00306D46"/>
    <w:rsid w:val="00322C8B"/>
    <w:rsid w:val="00370D70"/>
    <w:rsid w:val="003B71CE"/>
    <w:rsid w:val="003D773D"/>
    <w:rsid w:val="00437DCD"/>
    <w:rsid w:val="004B01EA"/>
    <w:rsid w:val="005016F1"/>
    <w:rsid w:val="00505061"/>
    <w:rsid w:val="00530D0B"/>
    <w:rsid w:val="00533FC1"/>
    <w:rsid w:val="00534FBF"/>
    <w:rsid w:val="00542877"/>
    <w:rsid w:val="00567587"/>
    <w:rsid w:val="005D46CC"/>
    <w:rsid w:val="00612260"/>
    <w:rsid w:val="006175AF"/>
    <w:rsid w:val="00617B79"/>
    <w:rsid w:val="006366FA"/>
    <w:rsid w:val="00643358"/>
    <w:rsid w:val="00677433"/>
    <w:rsid w:val="00695135"/>
    <w:rsid w:val="006A3B82"/>
    <w:rsid w:val="006C35A2"/>
    <w:rsid w:val="006D2181"/>
    <w:rsid w:val="006D3689"/>
    <w:rsid w:val="006E0FA5"/>
    <w:rsid w:val="006E2CCA"/>
    <w:rsid w:val="006E49A0"/>
    <w:rsid w:val="006E556C"/>
    <w:rsid w:val="006F1157"/>
    <w:rsid w:val="006F6251"/>
    <w:rsid w:val="00720242"/>
    <w:rsid w:val="00723539"/>
    <w:rsid w:val="00740F5A"/>
    <w:rsid w:val="0074142D"/>
    <w:rsid w:val="007578B3"/>
    <w:rsid w:val="00773FDD"/>
    <w:rsid w:val="00813AEE"/>
    <w:rsid w:val="00886C11"/>
    <w:rsid w:val="008B075C"/>
    <w:rsid w:val="008D6456"/>
    <w:rsid w:val="00937DB6"/>
    <w:rsid w:val="009513B6"/>
    <w:rsid w:val="009902A3"/>
    <w:rsid w:val="00994365"/>
    <w:rsid w:val="009B25FC"/>
    <w:rsid w:val="009B52A0"/>
    <w:rsid w:val="009E3EA2"/>
    <w:rsid w:val="009F3433"/>
    <w:rsid w:val="00A40BDD"/>
    <w:rsid w:val="00A4698B"/>
    <w:rsid w:val="00A57962"/>
    <w:rsid w:val="00A63B6F"/>
    <w:rsid w:val="00A82DED"/>
    <w:rsid w:val="00A9082B"/>
    <w:rsid w:val="00A90AE7"/>
    <w:rsid w:val="00A90CFF"/>
    <w:rsid w:val="00AA6229"/>
    <w:rsid w:val="00AA63BD"/>
    <w:rsid w:val="00AB0E6A"/>
    <w:rsid w:val="00AC7F94"/>
    <w:rsid w:val="00AE2E88"/>
    <w:rsid w:val="00B00880"/>
    <w:rsid w:val="00B0575D"/>
    <w:rsid w:val="00B279D5"/>
    <w:rsid w:val="00B3521E"/>
    <w:rsid w:val="00B469BC"/>
    <w:rsid w:val="00B93164"/>
    <w:rsid w:val="00BD4B04"/>
    <w:rsid w:val="00BE0F47"/>
    <w:rsid w:val="00BF58E4"/>
    <w:rsid w:val="00C0702D"/>
    <w:rsid w:val="00C110A2"/>
    <w:rsid w:val="00C5227C"/>
    <w:rsid w:val="00C60A04"/>
    <w:rsid w:val="00C77C45"/>
    <w:rsid w:val="00C827EA"/>
    <w:rsid w:val="00C96740"/>
    <w:rsid w:val="00CA09B7"/>
    <w:rsid w:val="00CB0172"/>
    <w:rsid w:val="00CF0B1B"/>
    <w:rsid w:val="00CF1B51"/>
    <w:rsid w:val="00D01659"/>
    <w:rsid w:val="00D02321"/>
    <w:rsid w:val="00D114B2"/>
    <w:rsid w:val="00D13874"/>
    <w:rsid w:val="00D57DDF"/>
    <w:rsid w:val="00D660AB"/>
    <w:rsid w:val="00D67453"/>
    <w:rsid w:val="00D8235D"/>
    <w:rsid w:val="00DD09BA"/>
    <w:rsid w:val="00DF3E83"/>
    <w:rsid w:val="00E006C1"/>
    <w:rsid w:val="00E20D1C"/>
    <w:rsid w:val="00E25A9E"/>
    <w:rsid w:val="00E35B85"/>
    <w:rsid w:val="00E7474B"/>
    <w:rsid w:val="00E81E1D"/>
    <w:rsid w:val="00E84E1D"/>
    <w:rsid w:val="00E94B15"/>
    <w:rsid w:val="00EC0BF8"/>
    <w:rsid w:val="00EC3DF2"/>
    <w:rsid w:val="00ED348C"/>
    <w:rsid w:val="00ED5BE9"/>
    <w:rsid w:val="00F01562"/>
    <w:rsid w:val="00F0674C"/>
    <w:rsid w:val="00F114BE"/>
    <w:rsid w:val="00F443E3"/>
    <w:rsid w:val="00FB49CF"/>
    <w:rsid w:val="00FB6036"/>
    <w:rsid w:val="0F740038"/>
    <w:rsid w:val="141C3692"/>
    <w:rsid w:val="1DEE50B5"/>
    <w:rsid w:val="25C27AA7"/>
    <w:rsid w:val="2E544B59"/>
    <w:rsid w:val="35F05BDE"/>
    <w:rsid w:val="389B56ED"/>
    <w:rsid w:val="3978161E"/>
    <w:rsid w:val="40EB606D"/>
    <w:rsid w:val="47BE7D1C"/>
    <w:rsid w:val="49851F9C"/>
    <w:rsid w:val="56933A4F"/>
    <w:rsid w:val="6C0C2A23"/>
    <w:rsid w:val="70BD5664"/>
    <w:rsid w:val="75582CA5"/>
    <w:rsid w:val="EBFDA09E"/>
    <w:rsid w:val="EFE9E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328</Words>
  <Characters>1875</Characters>
  <Lines>15</Lines>
  <Paragraphs>4</Paragraphs>
  <TotalTime>0</TotalTime>
  <ScaleCrop>false</ScaleCrop>
  <LinksUpToDate>false</LinksUpToDate>
  <CharactersWithSpaces>2199</CharactersWithSpaces>
  <Application>WPS Office WWO_wpscloud_20220401182529-d8109cfad3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2022-03-19T04:18:00Z</dcterms:created>
  <dc:creator>Administrator</dc:creator>
  <cp:lastModifiedBy>Administrator</cp:lastModifiedBy>
  <cp:lastPrinted>2022-03-20T22:09:00Z</cp:lastPrinted>
  <dcterms:modified xsi:type="dcterms:W3CDTF">2022-04-05T15:47:46Z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71145C842E6B4976B62D0860A6054A38</vt:lpwstr>
  </property>
</Properties>
</file>